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center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  <w:t xml:space="preserve">Шекспировская комиссия при научном совете “История мировой культуры”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center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  <w:t xml:space="preserve">Российской aкадемии наук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center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  <w:t xml:space="preserve">Шекспировский центр Московского гуманитарного университета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center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  <w:t xml:space="preserve">Институт мировой литературы им. А.М. Горького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center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  <w:t xml:space="preserve">Православный Свято-Тихоновский гуманитарный университет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center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  <w:t xml:space="preserve">Государственный институт искусствознания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both"/>
        <w:rPr>
          <w:rFonts w:ascii="Times New Roman" w:hAnsi="Times New Roman" w:eastAsia="Times New Roman" w:cs="Times New Roman"/>
          <w:color w:val="000406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406"/>
          <w:sz w:val="26"/>
          <w:szCs w:val="26"/>
          <w:lang w:val="ru-RU"/>
        </w:rPr>
        <w:t xml:space="preserve">26–28 сентября 2024 г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. </w:t>
      </w:r>
      <w:hyperlink r:id="rId9" w:tooltip="http://world-shake.ru/ru/Encyclopaedia/3829.html" w:history="1">
        <w:r>
          <w:rPr>
            <w:rStyle w:val="816"/>
            <w:rFonts w:ascii="Times New Roman" w:hAnsi="Times New Roman" w:eastAsia="Times New Roman" w:cs="Times New Roman"/>
            <w:color w:val="006198"/>
            <w:sz w:val="26"/>
            <w:szCs w:val="26"/>
            <w:u w:val="single"/>
            <w:lang w:val="ru-RU"/>
          </w:rPr>
          <w:t xml:space="preserve">Шекспировская комиссия РАН</w:t>
        </w:r>
      </w:hyperlink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 отметит 460-летие английского поэта и драматурга традиционной большой конференцией, проходящей раз в два года.</w:t>
      </w:r>
      <w:r>
        <w:rPr>
          <w:rFonts w:ascii="Times New Roman" w:hAnsi="Times New Roman" w:eastAsia="Times New Roman" w:cs="Times New Roman"/>
          <w:color w:val="000406"/>
          <w:sz w:val="26"/>
          <w:szCs w:val="26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both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both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К участию в тридцатых «Шекспировских чтениях» приглашаются исследователи Шекспира, английской и мировой культуры XVI–XXI вв. из вузов России, исследовательских институтов РАН, независимые иссл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едователи, представители зарубежных вузов и научных центров, молодые ученые, аспиранты и студенты.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both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both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  <w:t xml:space="preserve">Организатор «Шекспировских чтений» – Шекспировская комиссия, созданная А.А. Аникстом при АН СССР почти 50 лет назад, в январе 1975.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За последние десятилетия сложилось несколько традиционных секций «Шекспировских чтений»: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Шекспир и его современники: литературные и культурные аспекты изучения шекспировской Англии в межкультурном обмене XVI–XXI вв.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Сценические и кинематографические интерпретации шекспировских пьес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«Русский Шекспир»: творческое восприятие наследия драматурга в литературе народов России (переводы, критика, шекспировские аллюзии)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Шекспир в музыке и изобразительном искусстве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Методология и практика преподавания шекспировских текстов в вузе и школе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Шекспир и европейская культура от Античности до современности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Шекспир, шекспиросфера и массовая культура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  <w:t xml:space="preserve">Юбилейная секция 2024 года: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</w:r>
    </w:p>
    <w:p>
      <w:pPr>
        <w:pStyle w:val="838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Пушкин и Шекспир: два символа национальной и мировой культуры.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both"/>
        <w:rPr>
          <w:rFonts w:ascii="Times New Roman" w:hAnsi="Times New Roman" w:eastAsia="Times New Roman" w:cs="Times New Roman"/>
          <w:color w:val="000406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both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Оргкомитет принимает заявки на проведение дополнительных секций, семинаров и круглых столов, посвященных более узким проблемам интерпретации шекспировского наследия. Возможных организаторов просим написать на указанный ниже адрес </w:t>
      </w:r>
      <w:r>
        <w:rPr>
          <w:rFonts w:ascii="Times New Roman" w:hAnsi="Times New Roman" w:eastAsia="Times New Roman" w:cs="Times New Roman"/>
          <w:b/>
          <w:color w:val="000406"/>
          <w:sz w:val="26"/>
          <w:szCs w:val="26"/>
          <w:lang w:val="ru-RU"/>
        </w:rPr>
        <w:t xml:space="preserve">до 1 июня 2024 г.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 с пометкой в теме письма — «Предложение семинара (секции, круглого стола)».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eastAsia="Times New Roman" w:cs="Times New Roman"/>
          <w:color w:val="000406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Рабочие языки конференции — русский и английский. Формат конференции — </w:t>
      </w:r>
      <w:r>
        <w:rPr>
          <w:rFonts w:ascii="Times New Roman" w:hAnsi="Times New Roman" w:eastAsia="Times New Roman" w:cs="Times New Roman"/>
          <w:b/>
          <w:color w:val="000406"/>
          <w:sz w:val="26"/>
          <w:szCs w:val="26"/>
          <w:lang w:val="ru-RU"/>
        </w:rPr>
        <w:t xml:space="preserve">гибридный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.</w:t>
      </w:r>
      <w:r>
        <w:rPr>
          <w:rFonts w:ascii="Times New Roman" w:hAnsi="Times New Roman" w:eastAsia="Times New Roman" w:cs="Times New Roman"/>
          <w:color w:val="000406"/>
          <w:sz w:val="26"/>
          <w:szCs w:val="26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000406"/>
          <w:sz w:val="26"/>
          <w:szCs w:val="26"/>
          <w:lang w:val="ru-RU"/>
        </w:rPr>
        <w:t xml:space="preserve">Регламент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: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8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доклад — 20 минут;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8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сообщение на круглом столе — 10 минут.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both"/>
        <w:rPr>
          <w:rFonts w:ascii="Times New Roman" w:hAnsi="Times New Roman" w:eastAsia="Times New Roman" w:cs="Times New Roman"/>
          <w:b/>
          <w:bCs/>
          <w:color w:val="000406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В заявке на участие в конференции «Шекспировские чтения» просим указать полностью ФИО, сведения о занимаемой должности, научную степень, ученое звание (если есть), предлагаемую тему и приложить краткую аннотацию (250–300 слов) на русском и английском языка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х. Заявки принимаются </w:t>
      </w:r>
      <w:r>
        <w:rPr>
          <w:rFonts w:ascii="Times New Roman" w:hAnsi="Times New Roman" w:eastAsia="Times New Roman" w:cs="Times New Roman"/>
          <w:b/>
          <w:color w:val="000406"/>
          <w:sz w:val="26"/>
          <w:szCs w:val="26"/>
          <w:lang w:val="ru-RU"/>
        </w:rPr>
        <w:t xml:space="preserve">до 15 июля 2024 г.</w:t>
      </w:r>
      <w:r>
        <w:rPr>
          <w:rFonts w:ascii="Times New Roman" w:hAnsi="Times New Roman" w:eastAsia="Times New Roman" w:cs="Times New Roman"/>
          <w:b/>
          <w:bCs/>
          <w:color w:val="000406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406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both"/>
        <w:rPr>
          <w:rFonts w:ascii="Times New Roman" w:hAnsi="Times New Roman" w:eastAsia="Times New Roman" w:cs="Times New Roman"/>
          <w:color w:val="000406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Оргкомитет оставляет за собой право отклонения заявки без объяснения причины.</w:t>
      </w:r>
      <w:r>
        <w:rPr>
          <w:rFonts w:ascii="Times New Roman" w:hAnsi="Times New Roman" w:eastAsia="Times New Roman" w:cs="Times New Roman"/>
          <w:color w:val="000406"/>
          <w:sz w:val="26"/>
          <w:szCs w:val="26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both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both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Вы также можете приложить Вашу статью для публикации в рецензируемых журналах </w:t>
      </w:r>
      <w:hyperlink r:id="rId10" w:tooltip="https://journals.mosgu.ru/zpu" w:history="1">
        <w:r>
          <w:rPr>
            <w:rStyle w:val="816"/>
            <w:rFonts w:ascii="Times New Roman" w:hAnsi="Times New Roman" w:eastAsia="Times New Roman" w:cs="Times New Roman"/>
            <w:color w:val="006198"/>
            <w:sz w:val="26"/>
            <w:szCs w:val="26"/>
            <w:u w:val="single"/>
            <w:lang w:val="ru-RU"/>
          </w:rPr>
          <w:t xml:space="preserve">«Знание. Понимание. Умение»</w:t>
        </w:r>
      </w:hyperlink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 и </w:t>
      </w:r>
      <w:hyperlink r:id="rId11" w:tooltip="https://journals.mosgu.ru/ggz" w:history="1">
        <w:r>
          <w:rPr>
            <w:rStyle w:val="816"/>
            <w:rFonts w:ascii="Times New Roman" w:hAnsi="Times New Roman" w:eastAsia="Times New Roman" w:cs="Times New Roman"/>
            <w:color w:val="006198"/>
            <w:sz w:val="26"/>
            <w:szCs w:val="26"/>
            <w:u w:val="single"/>
            <w:lang w:val="ru-RU"/>
          </w:rPr>
          <w:t xml:space="preserve">«Горизонты гуманитарного знания»</w:t>
        </w:r>
      </w:hyperlink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 (объем до 1 п. л.). Публикация полностью бесплатна, проходит слепое рецензирование. Редколлегии оставляют за собой право отказать в публикации.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eastAsia="Times New Roman" w:cs="Times New Roman"/>
          <w:color w:val="000406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sz w:val="26"/>
          <w:szCs w:val="26"/>
        </w:rPr>
      </w:r>
      <w:hyperlink r:id="rId12" w:tooltip="https://rus-shake.ru/file.php/id/f14050/name/Shakespeare-Readings-2016-Abstracts-Rus.pdf" w:history="1">
        <w:r>
          <w:rPr>
            <w:rStyle w:val="816"/>
            <w:rFonts w:ascii="Times New Roman" w:hAnsi="Times New Roman" w:eastAsia="Times New Roman" w:cs="Times New Roman"/>
            <w:b/>
            <w:color w:val="006198"/>
            <w:sz w:val="26"/>
            <w:szCs w:val="26"/>
            <w:u w:val="none"/>
            <w:lang w:val="ru-RU"/>
          </w:rPr>
          <w:t xml:space="preserve">Образец оформления тезисов докладов</w:t>
        </w:r>
      </w:hyperlink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eastAsia="Times New Roman" w:cs="Times New Roman"/>
          <w:color w:val="000406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Английский вариант оформляется </w:t>
      </w:r>
      <w:hyperlink r:id="rId13" w:tooltip="https://rus-shake.ru/file.php/id/f14051/name/Shakespeare-Readings-2016-Abstracts-Eng.pdf" w:history="1">
        <w:r>
          <w:rPr>
            <w:rStyle w:val="816"/>
            <w:rFonts w:ascii="Times New Roman" w:hAnsi="Times New Roman" w:eastAsia="Times New Roman" w:cs="Times New Roman"/>
            <w:b/>
            <w:color w:val="006198"/>
            <w:sz w:val="26"/>
            <w:szCs w:val="26"/>
            <w:u w:val="none"/>
            <w:lang w:val="ru-RU"/>
          </w:rPr>
          <w:t xml:space="preserve">идентично</w:t>
        </w:r>
      </w:hyperlink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.</w:t>
      </w:r>
      <w:r>
        <w:rPr>
          <w:rFonts w:ascii="Times New Roman" w:hAnsi="Times New Roman" w:eastAsia="Times New Roman" w:cs="Times New Roman"/>
          <w:color w:val="000406"/>
          <w:sz w:val="26"/>
          <w:szCs w:val="26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eastAsia="Times New Roman" w:cs="Times New Roman"/>
          <w:b/>
          <w:bCs/>
          <w:color w:val="000406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406"/>
          <w:sz w:val="26"/>
          <w:szCs w:val="26"/>
          <w:lang w:val="ru-RU"/>
        </w:rPr>
        <w:t xml:space="preserve">Контакты</w:t>
      </w:r>
      <w:r>
        <w:rPr>
          <w:rFonts w:ascii="Times New Roman" w:hAnsi="Times New Roman" w:eastAsia="Times New Roman" w:cs="Times New Roman"/>
          <w:b/>
          <w:bCs/>
          <w:color w:val="000406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000406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eastAsia="Times New Roman" w:cs="Times New Roman"/>
          <w:color w:val="000406"/>
          <w:sz w:val="26"/>
          <w:szCs w:val="26"/>
        </w:rPr>
      </w:pPr>
      <w:r>
        <w:rPr>
          <w:rFonts w:ascii="Times New Roman" w:hAnsi="Times New Roman" w:eastAsia="Times New Roman" w:cs="Times New Roman"/>
          <w:i/>
          <w:color w:val="000406"/>
          <w:sz w:val="26"/>
          <w:szCs w:val="26"/>
          <w:lang w:val="ru-RU"/>
        </w:rPr>
        <w:t xml:space="preserve">Николай Владимирович Захаров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,</w:t>
      </w:r>
      <w:r>
        <w:rPr>
          <w:rFonts w:ascii="Times New Roman" w:hAnsi="Times New Roman" w:eastAsia="Times New Roman" w:cs="Times New Roman"/>
          <w:color w:val="000406"/>
          <w:sz w:val="26"/>
          <w:szCs w:val="26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sz w:val="26"/>
          <w:szCs w:val="26"/>
        </w:rPr>
      </w:r>
      <w:hyperlink r:id="rId14" w:tooltip="http://www.mosgu.ru/science/ifpi/shakespeare-centre/" w:history="1">
        <w:r>
          <w:rPr>
            <w:rStyle w:val="816"/>
            <w:rFonts w:ascii="Times New Roman" w:hAnsi="Times New Roman" w:eastAsia="Times New Roman" w:cs="Times New Roman"/>
            <w:color w:val="006198"/>
            <w:sz w:val="26"/>
            <w:szCs w:val="26"/>
            <w:u w:val="single"/>
            <w:lang w:val="ru-RU"/>
          </w:rPr>
          <w:t xml:space="preserve">Шекспировский центр</w:t>
        </w:r>
      </w:hyperlink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eastAsia="Times New Roman" w:cs="Times New Roman"/>
          <w:color w:val="000406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Института фундаментальных и прикладных исследований</w:t>
      </w:r>
      <w:r>
        <w:rPr>
          <w:rFonts w:ascii="Times New Roman" w:hAnsi="Times New Roman" w:eastAsia="Times New Roman" w:cs="Times New Roman"/>
          <w:color w:val="000406"/>
          <w:sz w:val="26"/>
          <w:szCs w:val="26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eastAsia="Times New Roman" w:cs="Times New Roman"/>
          <w:color w:val="000406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Московского гуманитарного университета,</w:t>
      </w:r>
      <w:r>
        <w:rPr>
          <w:rFonts w:ascii="Times New Roman" w:hAnsi="Times New Roman" w:eastAsia="Times New Roman" w:cs="Times New Roman"/>
          <w:color w:val="000406"/>
          <w:sz w:val="26"/>
          <w:szCs w:val="26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сопредседатель Шекспировской комиссии РАН.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eastAsia="Times New Roman" w:cs="Times New Roman"/>
          <w:color w:val="000406"/>
          <w:sz w:val="26"/>
          <w:szCs w:val="26"/>
        </w:rPr>
      </w:pP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  <w:lang w:val="ru-RU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eastAsia="Times New Roman" w:cs="Times New Roman"/>
          <w:color w:val="000406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406"/>
          <w:sz w:val="26"/>
          <w:szCs w:val="26"/>
          <w:lang w:val="ru-RU"/>
        </w:rPr>
        <w:t xml:space="preserve">Почтовый адрес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: 111395, Россия, г. Москва, ул. Юности, 5.</w:t>
      </w:r>
      <w:r>
        <w:rPr>
          <w:rFonts w:ascii="Times New Roman" w:hAnsi="Times New Roman" w:eastAsia="Times New Roman" w:cs="Times New Roman"/>
          <w:color w:val="000406"/>
          <w:sz w:val="26"/>
          <w:szCs w:val="26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0" w:left="0"/>
        <w:jc w:val="left"/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000406"/>
          <w:sz w:val="26"/>
          <w:szCs w:val="26"/>
          <w:lang w:val="ru-RU"/>
        </w:rPr>
        <w:t xml:space="preserve">Электронная почта</w:t>
      </w:r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: </w:t>
      </w:r>
      <w:hyperlink r:id="rId15" w:tooltip="mailto:nikoltine@yandex.ru" w:history="1">
        <w:r>
          <w:rPr>
            <w:rStyle w:val="816"/>
            <w:rFonts w:ascii="Times New Roman" w:hAnsi="Times New Roman" w:eastAsia="Times New Roman" w:cs="Times New Roman"/>
            <w:color w:val="006198"/>
            <w:sz w:val="26"/>
            <w:szCs w:val="26"/>
            <w:u w:val="single"/>
            <w:lang w:val="ru-RU"/>
          </w:rPr>
          <w:t xml:space="preserve">nikoltine@yandex.ru</w:t>
        </w:r>
      </w:hyperlink>
      <w:r>
        <w:rPr>
          <w:rFonts w:ascii="Times New Roman" w:hAnsi="Times New Roman" w:eastAsia="Times New Roman" w:cs="Times New Roman"/>
          <w:color w:val="000406"/>
          <w:sz w:val="26"/>
          <w:szCs w:val="26"/>
          <w:lang w:val="ru-RU"/>
        </w:rPr>
        <w:t xml:space="preserve">, </w:t>
      </w:r>
      <w:hyperlink r:id="rId16" w:tooltip="mailto:russhake@gmail.com" w:history="1">
        <w:r>
          <w:rPr>
            <w:rStyle w:val="816"/>
            <w:rFonts w:ascii="Times New Roman" w:hAnsi="Times New Roman" w:eastAsia="Times New Roman" w:cs="Times New Roman"/>
            <w:color w:val="006198"/>
            <w:sz w:val="26"/>
            <w:szCs w:val="26"/>
            <w:u w:val="single"/>
            <w:lang w:val="ru-RU"/>
          </w:rPr>
          <w:t xml:space="preserve">russhake@gmail.com</w:t>
        </w:r>
      </w:hyperlink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406"/>
          <w:sz w:val="26"/>
          <w:szCs w:val="26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7">
    <w:name w:val="Title Char"/>
    <w:link w:val="676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>
    <w:name w:val="Subtitle Char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pBdr/>
      <w:spacing/>
      <w:ind w:right="720" w:left="720"/>
    </w:pPr>
    <w:rPr>
      <w:i/>
    </w:rPr>
  </w:style>
  <w:style w:type="character" w:styleId="681">
    <w:name w:val="Quote Char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3">
    <w:name w:val="Intense Quote Char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834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Header Char"/>
    <w:link w:val="684"/>
    <w:uiPriority w:val="99"/>
    <w:pPr>
      <w:pBdr/>
      <w:spacing/>
      <w:ind/>
    </w:pPr>
  </w:style>
  <w:style w:type="paragraph" w:styleId="686">
    <w:name w:val="Footer"/>
    <w:basedOn w:val="834"/>
    <w:link w:val="68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>
    <w:name w:val="Footer Char"/>
    <w:link w:val="686"/>
    <w:uiPriority w:val="99"/>
    <w:pPr>
      <w:pBdr/>
      <w:spacing/>
      <w:ind/>
    </w:pPr>
  </w:style>
  <w:style w:type="paragraph" w:styleId="688">
    <w:name w:val="Caption"/>
    <w:basedOn w:val="834"/>
    <w:next w:val="83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  <w:pPr>
      <w:pBdr/>
      <w:spacing/>
      <w:ind/>
    </w:pPr>
  </w:style>
  <w:style w:type="table" w:styleId="690">
    <w:name w:val="Table Grid"/>
    <w:basedOn w:val="83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Table Grid Light"/>
    <w:basedOn w:val="8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1"/>
    <w:basedOn w:val="8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2"/>
    <w:basedOn w:val="8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1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2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3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4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5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6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1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2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3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4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5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6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1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2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3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4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5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6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8">
    <w:name w:val="Footnote Text Char"/>
    <w:link w:val="817"/>
    <w:uiPriority w:val="99"/>
    <w:pPr>
      <w:pBdr/>
      <w:spacing/>
      <w:ind/>
    </w:pPr>
    <w:rPr>
      <w:sz w:val="18"/>
    </w:rPr>
  </w:style>
  <w:style w:type="character" w:styleId="819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1">
    <w:name w:val="Endnote Text Char"/>
    <w:link w:val="820"/>
    <w:uiPriority w:val="99"/>
    <w:pPr>
      <w:pBdr/>
      <w:spacing/>
      <w:ind/>
    </w:pPr>
    <w:rPr>
      <w:sz w:val="20"/>
    </w:rPr>
  </w:style>
  <w:style w:type="character" w:styleId="822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pBdr/>
      <w:spacing w:after="57"/>
      <w:ind w:right="0" w:firstLine="0" w:left="0"/>
    </w:pPr>
  </w:style>
  <w:style w:type="paragraph" w:styleId="824">
    <w:name w:val="toc 2"/>
    <w:basedOn w:val="834"/>
    <w:next w:val="834"/>
    <w:uiPriority w:val="39"/>
    <w:unhideWhenUsed/>
    <w:pPr>
      <w:pBdr/>
      <w:spacing w:after="57"/>
      <w:ind w:right="0" w:firstLine="0" w:left="283"/>
    </w:pPr>
  </w:style>
  <w:style w:type="paragraph" w:styleId="825">
    <w:name w:val="toc 3"/>
    <w:basedOn w:val="834"/>
    <w:next w:val="834"/>
    <w:uiPriority w:val="39"/>
    <w:unhideWhenUsed/>
    <w:pPr>
      <w:pBdr/>
      <w:spacing w:after="57"/>
      <w:ind w:right="0" w:firstLine="0" w:left="567"/>
    </w:pPr>
  </w:style>
  <w:style w:type="paragraph" w:styleId="826">
    <w:name w:val="toc 4"/>
    <w:basedOn w:val="834"/>
    <w:next w:val="834"/>
    <w:uiPriority w:val="39"/>
    <w:unhideWhenUsed/>
    <w:pPr>
      <w:pBdr/>
      <w:spacing w:after="57"/>
      <w:ind w:right="0" w:firstLine="0" w:left="850"/>
    </w:pPr>
  </w:style>
  <w:style w:type="paragraph" w:styleId="827">
    <w:name w:val="toc 5"/>
    <w:basedOn w:val="834"/>
    <w:next w:val="834"/>
    <w:uiPriority w:val="39"/>
    <w:unhideWhenUsed/>
    <w:pPr>
      <w:pBdr/>
      <w:spacing w:after="57"/>
      <w:ind w:right="0" w:firstLine="0" w:left="1134"/>
    </w:pPr>
  </w:style>
  <w:style w:type="paragraph" w:styleId="828">
    <w:name w:val="toc 6"/>
    <w:basedOn w:val="834"/>
    <w:next w:val="834"/>
    <w:uiPriority w:val="39"/>
    <w:unhideWhenUsed/>
    <w:pPr>
      <w:pBdr/>
      <w:spacing w:after="57"/>
      <w:ind w:right="0" w:firstLine="0" w:left="1417"/>
    </w:pPr>
  </w:style>
  <w:style w:type="paragraph" w:styleId="829">
    <w:name w:val="toc 7"/>
    <w:basedOn w:val="834"/>
    <w:next w:val="834"/>
    <w:uiPriority w:val="39"/>
    <w:unhideWhenUsed/>
    <w:pPr>
      <w:pBdr/>
      <w:spacing w:after="57"/>
      <w:ind w:right="0" w:firstLine="0" w:left="1701"/>
    </w:pPr>
  </w:style>
  <w:style w:type="paragraph" w:styleId="830">
    <w:name w:val="toc 8"/>
    <w:basedOn w:val="834"/>
    <w:next w:val="834"/>
    <w:uiPriority w:val="39"/>
    <w:unhideWhenUsed/>
    <w:pPr>
      <w:pBdr/>
      <w:spacing w:after="57"/>
      <w:ind w:right="0" w:firstLine="0" w:left="1984"/>
    </w:pPr>
  </w:style>
  <w:style w:type="paragraph" w:styleId="831">
    <w:name w:val="toc 9"/>
    <w:basedOn w:val="834"/>
    <w:next w:val="834"/>
    <w:uiPriority w:val="39"/>
    <w:unhideWhenUsed/>
    <w:pPr>
      <w:pBdr/>
      <w:spacing w:after="57"/>
      <w:ind w:right="0" w:firstLine="0" w:left="2268"/>
    </w:pPr>
  </w:style>
  <w:style w:type="paragraph" w:styleId="832">
    <w:name w:val="TOC Heading"/>
    <w:uiPriority w:val="39"/>
    <w:unhideWhenUsed/>
    <w:pPr>
      <w:pBdr/>
      <w:spacing/>
      <w:ind/>
    </w:pPr>
  </w:style>
  <w:style w:type="paragraph" w:styleId="833">
    <w:name w:val="table of figures"/>
    <w:basedOn w:val="834"/>
    <w:next w:val="834"/>
    <w:uiPriority w:val="99"/>
    <w:unhideWhenUsed/>
    <w:pPr>
      <w:pBdr/>
      <w:spacing w:after="0" w:afterAutospacing="0"/>
      <w:ind/>
    </w:pPr>
  </w:style>
  <w:style w:type="paragraph" w:styleId="834" w:default="1">
    <w:name w:val="Normal"/>
    <w:qFormat/>
    <w:pPr>
      <w:pBdr/>
      <w:spacing/>
      <w:ind/>
    </w:pPr>
  </w:style>
  <w:style w:type="table" w:styleId="83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6" w:default="1">
    <w:name w:val="No List"/>
    <w:uiPriority w:val="99"/>
    <w:semiHidden/>
    <w:unhideWhenUsed/>
    <w:pPr>
      <w:pBdr/>
      <w:spacing/>
      <w:ind/>
    </w:pPr>
  </w:style>
  <w:style w:type="paragraph" w:styleId="837">
    <w:name w:val="No Spacing"/>
    <w:basedOn w:val="834"/>
    <w:uiPriority w:val="1"/>
    <w:qFormat/>
    <w:pPr>
      <w:pBdr/>
      <w:spacing w:after="0" w:line="240" w:lineRule="auto"/>
      <w:ind/>
    </w:pPr>
  </w:style>
  <w:style w:type="paragraph" w:styleId="838">
    <w:name w:val="List Paragraph"/>
    <w:basedOn w:val="834"/>
    <w:uiPriority w:val="34"/>
    <w:qFormat/>
    <w:pPr>
      <w:pBdr/>
      <w:spacing/>
      <w:ind w:left="720"/>
      <w:contextualSpacing w:val="true"/>
    </w:p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orld-shake.ru/ru/Encyclopaedia/3829.html" TargetMode="External"/><Relationship Id="rId10" Type="http://schemas.openxmlformats.org/officeDocument/2006/relationships/hyperlink" Target="https://journals.mosgu.ru/zpu" TargetMode="External"/><Relationship Id="rId11" Type="http://schemas.openxmlformats.org/officeDocument/2006/relationships/hyperlink" Target="https://journals.mosgu.ru/ggz" TargetMode="External"/><Relationship Id="rId12" Type="http://schemas.openxmlformats.org/officeDocument/2006/relationships/hyperlink" Target="https://rus-shake.ru/file.php/id/f14050/name/Shakespeare-Readings-2016-Abstracts-Rus.pdf" TargetMode="External"/><Relationship Id="rId13" Type="http://schemas.openxmlformats.org/officeDocument/2006/relationships/hyperlink" Target="https://rus-shake.ru/file.php/id/f14051/name/Shakespeare-Readings-2016-Abstracts-Eng.pdf" TargetMode="External"/><Relationship Id="rId14" Type="http://schemas.openxmlformats.org/officeDocument/2006/relationships/hyperlink" Target="http://www.mosgu.ru/science/ifpi/shakespeare-centre/" TargetMode="External"/><Relationship Id="rId15" Type="http://schemas.openxmlformats.org/officeDocument/2006/relationships/hyperlink" Target="mailto:nikoltine@yandex.ru" TargetMode="External"/><Relationship Id="rId16" Type="http://schemas.openxmlformats.org/officeDocument/2006/relationships/hyperlink" Target="mailto:russhake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2024-03-21T18:52:26Z</dcterms:modified>
</cp:coreProperties>
</file>