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8734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 xml:space="preserve">руглый стол </w:t>
      </w:r>
    </w:p>
    <w:p w14:paraId="525A03BD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p w14:paraId="64062A2A">
      <w:pPr>
        <w:jc w:val="center"/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 xml:space="preserve">Пути развития русской литературы </w:t>
      </w:r>
    </w:p>
    <w:p w14:paraId="24F0F799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в эмиграции</w:t>
      </w:r>
    </w:p>
    <w:p w14:paraId="231F6DCD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5315BA3C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18 ноября 2024 г.</w:t>
      </w:r>
    </w:p>
    <w:p w14:paraId="02039D6F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ИМЛИ РАН</w:t>
      </w:r>
    </w:p>
    <w:p w14:paraId="4707D7B7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  <w:t>zoom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br w:type="textWrapping"/>
      </w:r>
    </w:p>
    <w:p w14:paraId="0C89AC53">
      <w:pPr>
        <w:jc w:val="center"/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  <w:t>Мероприятие проводится в рамках проекта РНФ №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  <w:t>23-28-01326</w:t>
      </w:r>
    </w:p>
    <w:p w14:paraId="1C16BBB4">
      <w:pPr>
        <w:jc w:val="center"/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  <w:t xml:space="preserve">«Литературная полемика о двух путях развития русской литературы </w:t>
      </w:r>
    </w:p>
    <w:p w14:paraId="22D5064A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ru-RU"/>
        </w:rPr>
        <w:t>в критике русского зарубежья первой половины XX века»</w:t>
      </w:r>
    </w:p>
    <w:p w14:paraId="2FF5D59A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p w14:paraId="7B07561C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П Р О Г Р А М М А </w:t>
      </w:r>
    </w:p>
    <w:p w14:paraId="6778B914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0E7C6A5E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12.00 — 14.00</w:t>
      </w:r>
    </w:p>
    <w:p w14:paraId="7E3FB899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p w14:paraId="3B845CD1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 xml:space="preserve">Свиридов </w:t>
      </w: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В.Ю. 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Литература русского зарубежья в восприятии эмигрантской критики 1920-1930-х гг.</w:t>
      </w:r>
    </w:p>
    <w:p w14:paraId="251224F5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Михаленко</w:t>
      </w: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Н.В.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Изображение дачного топоса в эмигрантской периодике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  <w:t>*</w:t>
      </w:r>
    </w:p>
    <w:p w14:paraId="296175BB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Пономарев</w:t>
      </w: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Е.Р.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Писатель и Критик в литературе эмиграции (Бунин и Степун)</w:t>
      </w:r>
    </w:p>
    <w:p w14:paraId="7DAD3DBC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 xml:space="preserve">Зайцев </w:t>
      </w: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Д.В.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Творческое наследие Ф.А. Степуна: современное состояние изучения</w:t>
      </w:r>
    </w:p>
    <w:p w14:paraId="2008F1A1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Palatino Linotype" w:hAnsi="Palatino Linotype" w:eastAsia="Arial" w:cs="Palatino Linotype"/>
          <w:b/>
          <w:bCs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Протопопова А.В., Протопопов И.А.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Эмигрантская критика о путях развития русской литературы в 20-30-е гг. 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  <w:t>XX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века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  <w:t xml:space="preserve">: </w:t>
      </w:r>
      <w:r>
        <w:rPr>
          <w:rFonts w:hint="default" w:ascii="Palatino Linotype" w:hAnsi="Palatino Linotype" w:eastAsia="Arial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Слоним, Ходасевич, Адамович и другие</w:t>
      </w:r>
    </w:p>
    <w:p w14:paraId="055909DE">
      <w:pP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59D18049">
      <w:pP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подведение итогов проекта</w:t>
      </w: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br w:type="textWrapping"/>
      </w:r>
    </w:p>
    <w:p w14:paraId="7A31F487">
      <w:pPr>
        <w:jc w:val="both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p w14:paraId="04548F72">
      <w:pPr>
        <w:jc w:val="both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1A04DBAB">
      <w:pPr>
        <w:pBdr>
          <w:bottom w:val="single" w:color="auto" w:sz="4" w:space="0"/>
        </w:pBdr>
        <w:jc w:val="center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p w14:paraId="6304D1E9">
      <w:pPr>
        <w:jc w:val="left"/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Palatino Linotype" w:hAnsi="Palatino Linotype" w:eastAsia="Arial" w:cs="Palatino Linotype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en-US"/>
        </w:rPr>
        <w:t xml:space="preserve">*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Доклад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Н.В. Михаленко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подготовлен в ИМЛИ РАН при поддержке 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>гранта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РНФ №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22-18-00051 «Усадьба и дача в русской литературе XX–XXI вв.: судьбы национального идеала»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61CC"/>
    <w:rsid w:val="18AA1406"/>
    <w:rsid w:val="4F5E38C5"/>
    <w:rsid w:val="60591866"/>
    <w:rsid w:val="657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2024-11-16T11:16:00Z</dcterms:created>
  <dc:creator>Anna Protopopova</dc:creator>
  <cp:lastModifiedBy>Anna Protopopova</cp:lastModifiedBy>
  <dcterms:modified xsi:type="dcterms:W3CDTF">2024-11-16T12:59:42Z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674B5B38962B46F6A366D072690C515C_11</vt:lpwstr>
  </property>
</Properties>
</file>